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08"/>
        <w:rPr>
          <w:rFonts w:ascii="Arial" w:cs="Arial" w:eastAsia="Arial" w:hAnsi="Arial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46"/>
          <w:szCs w:val="46"/>
        </w:rPr>
      </w:pPr>
      <w:r w:rsidDel="00000000" w:rsidR="00000000" w:rsidRPr="00000000">
        <w:rPr>
          <w:rFonts w:ascii="Arial" w:cs="Arial" w:eastAsia="Arial" w:hAnsi="Arial"/>
          <w:b w:val="1"/>
          <w:sz w:val="46"/>
          <w:szCs w:val="46"/>
          <w:rtl w:val="0"/>
        </w:rPr>
        <w:t xml:space="preserve">André Teixeira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Cantor e compositor, natural de São Gabriel (RS), André Teixeira atua no segmento da música regional gaúcha há mais de 20 anos. Possui extensa participação nos festivais nativistas com diversas premiações e é detentor de notável carreira artística.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Titular de um grande e primoroso acervo musical, com temática variada no espectro da cultura regional, sua obra lhe credencia como artista requisitado e festejado no cenário da música nativista, especialmente nos estados do Paraná, Santa Catarina e Rio Grande do Sul.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André Teixeira sintetiza as grandes qualidades de uma voz devotada a interpretar as coisas do campo, do gaúcho, seus usos e costumes.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Possui cinco álbuns lançados: “Coração de Campo”, “Do Meu Rincão”, “Festivais, volume 1”, “Festivais, volume 2” e “Patrimônio”. Um talento que concretiza as maiores virtudes da autêntica música regional.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2" w:top="284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